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r>
        <w:rPr>
          <w:rFonts w:ascii="宋体" w:hAnsi="宋体" w:eastAsia="宋体" w:cs="宋体"/>
          <w:sz w:val="24"/>
          <w:szCs w:val="24"/>
        </w:rPr>
        <w:drawing>
          <wp:inline distT="0" distB="0" distL="114300" distR="114300">
            <wp:extent cx="2743200" cy="495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743200" cy="4953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Trebuchet MS" w:hAnsi="Trebuchet MS" w:cs="Trebuchet MS"/>
          <w:b w:val="0"/>
          <w:i w:val="0"/>
          <w:caps w:val="0"/>
          <w:color w:val="666666"/>
          <w:spacing w:val="0"/>
          <w:sz w:val="21"/>
          <w:szCs w:val="21"/>
        </w:rPr>
      </w:pPr>
      <w:r>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t>公会组织举办“上海银行同业•大讲堂”之“习总书记有关金融系列重要讲话学习体会”专题讲座</w:t>
      </w:r>
    </w:p>
    <w:p>
      <w:pPr>
        <w:keepNext w:val="0"/>
        <w:keepLines w:val="0"/>
        <w:widowControl/>
        <w:suppressLineNumbers w:val="0"/>
        <w:pBdr>
          <w:top w:val="none" w:color="auto" w:sz="0" w:space="0"/>
          <w:left w:val="none" w:color="auto" w:sz="0" w:space="0"/>
          <w:bottom w:val="dashed" w:color="auto" w:sz="6" w:space="0"/>
          <w:right w:val="none" w:color="auto" w:sz="0" w:space="0"/>
        </w:pBdr>
        <w:spacing w:after="270" w:afterAutospacing="0" w:line="300" w:lineRule="atLeast"/>
        <w:ind w:left="0" w:firstLine="0"/>
        <w:jc w:val="center"/>
        <w:rPr>
          <w:rFonts w:hint="default" w:ascii="Trebuchet MS" w:hAnsi="Trebuchet MS" w:cs="Trebuchet MS"/>
          <w:b w:val="0"/>
          <w:i w:val="0"/>
          <w:caps w:val="0"/>
          <w:color w:val="9B9B9B"/>
          <w:spacing w:val="0"/>
          <w:sz w:val="19"/>
          <w:szCs w:val="19"/>
        </w:rPr>
      </w:pPr>
      <w:r>
        <w:rPr>
          <w:rFonts w:hint="default" w:ascii="Trebuchet MS" w:hAnsi="Trebuchet MS" w:eastAsia="宋体" w:cs="Trebuchet MS"/>
          <w:b w:val="0"/>
          <w:i w:val="0"/>
          <w:caps w:val="0"/>
          <w:color w:val="9B9B9B"/>
          <w:spacing w:val="0"/>
          <w:kern w:val="0"/>
          <w:sz w:val="19"/>
          <w:szCs w:val="19"/>
          <w:bdr w:val="none" w:color="auto" w:sz="0" w:space="0"/>
          <w:lang w:val="en-US" w:eastAsia="zh-CN" w:bidi="ar"/>
        </w:rPr>
        <w:t>发布日期：2017-08-22    阅读次数：72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420" w:firstLineChars="200"/>
      </w:pPr>
      <w:r>
        <w:rPr>
          <w:rFonts w:hint="eastAsia" w:ascii="Arial" w:hAnsi="Arial" w:cs="Arial"/>
          <w:b w:val="0"/>
          <w:i w:val="0"/>
          <w:caps w:val="0"/>
          <w:color w:val="444444"/>
          <w:spacing w:val="0"/>
          <w:sz w:val="21"/>
          <w:szCs w:val="21"/>
          <w:bdr w:val="none" w:color="auto" w:sz="0" w:space="0"/>
        </w:rPr>
        <w:t>8月16日，公会组织举办了“上海银行同业•大讲堂”之“习总书记有关金融系列重要讲话学习体会”专题讲座，特邀国务院发展研究中心金融研究所银行研究室副主任、副研究员、高级经济师王刚博士进行分享。本次讲座得到了上海银监局的大力支持，部分处级领导及业务骨干参加了此次讲座。此外，还有来自70余家中外资会员单位的相关行级领导、业务部门负责人等180余人参加。本次讲座由公会副秘书长陈三三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pPr>
      <w:r>
        <w:rPr>
          <w:rFonts w:hint="default" w:ascii="Arial" w:hAnsi="Arial" w:cs="Arial"/>
          <w:b w:val="0"/>
          <w:i w:val="0"/>
          <w:caps w:val="0"/>
          <w:color w:val="444444"/>
          <w:spacing w:val="0"/>
          <w:sz w:val="21"/>
          <w:szCs w:val="21"/>
          <w:bdr w:val="none" w:color="auto" w:sz="0" w:space="0"/>
        </w:rPr>
        <w:t>王博士结合自身的工作经历及实际案例，从习总书记在2017年全国金融工作会议、4.25政治局集体学习及历次重大会议上涉及金融方面的重要讲话入手，以风趣幽默的授课方式抽丝剥茧般历数并深度解读了有关银行业的大政方针及政策法规，着重分享了“守住风险底线”、“经济工作要适应经济发展新常态”、“维护国家金融安全”、“银行业转型发展过程中存在的突出问题”、“金融如何服务实体经济”、“防范系统性风险”、“加强金融监管”、“加强党对金融工作”、“加强金融反腐”等金融热点及要点话题，还对近期涌现的诸如“灰犀牛”等金融新词予以了精彩的释义与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pPr>
      <w:r>
        <w:rPr>
          <w:rFonts w:hint="default" w:ascii="Arial" w:hAnsi="Arial" w:cs="Arial"/>
          <w:b w:val="0"/>
          <w:i w:val="0"/>
          <w:caps w:val="0"/>
          <w:color w:val="444444"/>
          <w:spacing w:val="0"/>
          <w:sz w:val="21"/>
          <w:szCs w:val="21"/>
          <w:bdr w:val="none" w:color="auto" w:sz="0" w:space="0"/>
        </w:rPr>
        <w:t>讲座最后，王博士围绕“金融业做好金融安全和风险管理工作要树立的十大思维”与“处理好金融安全和风险管理的九大关系和挑战”分享了自己的真知灼见。各与会人员均对此次讲座内容的专业性及务实性给予了充分肯定。</w:t>
      </w:r>
      <w:bookmarkStart w:id="0" w:name="_GoBack"/>
      <w:bookmarkEnd w:id="0"/>
      <w:r>
        <w:rPr>
          <w:rFonts w:hint="default" w:ascii="Arial" w:hAnsi="Arial" w:cs="Arial"/>
          <w:b w:val="0"/>
          <w:i w:val="0"/>
          <w:caps w:val="0"/>
          <w:color w:val="444444"/>
          <w:spacing w:val="0"/>
          <w:sz w:val="21"/>
          <w:szCs w:val="21"/>
          <w:bdr w:val="none" w:color="auto" w:sz="0" w:space="0"/>
        </w:rPr>
        <w:t>（秘书处教育培训部 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75A2B"/>
    <w:rsid w:val="27C75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2017-08-30T01:38:00Z</dcterms:created>
  <dc:creator>qian</dc:creator>
  <cp:lastModifiedBy>qian</cp:lastModifiedBy>
  <dcterms:modified xsi:type="dcterms:W3CDTF">2017-08-30T01:41:47Z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